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B79" w:rsidRPr="00551B79" w:rsidRDefault="00481F5D" w:rsidP="00551B79">
      <w:pPr>
        <w:spacing w:after="0" w:line="300" w:lineRule="auto"/>
        <w:rPr>
          <w:rFonts w:ascii="Times New Roman" w:hAnsi="Times New Roman"/>
          <w:b/>
          <w:sz w:val="28"/>
          <w:szCs w:val="28"/>
        </w:rPr>
      </w:pPr>
      <w:r w:rsidRPr="00551B79">
        <w:rPr>
          <w:rFonts w:ascii="Times New Roman" w:hAnsi="Times New Roman"/>
          <w:b/>
          <w:sz w:val="28"/>
          <w:szCs w:val="28"/>
        </w:rPr>
        <w:t>Тема: Электрические станции и подстанции</w:t>
      </w:r>
    </w:p>
    <w:p w:rsidR="002949D8" w:rsidRPr="00551B79" w:rsidRDefault="00481F5D" w:rsidP="00551B79">
      <w:pPr>
        <w:spacing w:after="0" w:line="300" w:lineRule="auto"/>
        <w:rPr>
          <w:rFonts w:ascii="Times New Roman" w:hAnsi="Times New Roman"/>
          <w:b/>
          <w:sz w:val="28"/>
          <w:szCs w:val="28"/>
        </w:rPr>
      </w:pPr>
      <w:r w:rsidRPr="00551B79">
        <w:rPr>
          <w:rFonts w:ascii="Times New Roman" w:eastAsia="Times New Roman" w:hAnsi="Times New Roman"/>
          <w:b/>
          <w:sz w:val="28"/>
          <w:szCs w:val="28"/>
          <w:lang w:eastAsia="ru-RU"/>
        </w:rPr>
        <w:t>Лекция№</w:t>
      </w:r>
      <w:r w:rsidR="002949D8" w:rsidRPr="00551B7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14.</w:t>
      </w:r>
      <w:r w:rsidR="002949D8" w:rsidRPr="00551B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СРЕДСТВА ОГРАНИЧЕНИЯ ТОКОВ КОРОТКОГО ЗАМЫКАНИЯ.</w:t>
      </w:r>
    </w:p>
    <w:p w:rsidR="002949D8" w:rsidRPr="002949D8" w:rsidRDefault="002949D8" w:rsidP="002949D8">
      <w:pPr>
        <w:shd w:val="clear" w:color="auto" w:fill="FFFFFF"/>
        <w:spacing w:before="110" w:after="0" w:line="240" w:lineRule="auto"/>
        <w:ind w:left="24"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49D8" w:rsidRPr="002949D8" w:rsidRDefault="002949D8" w:rsidP="00551B79">
      <w:pPr>
        <w:shd w:val="clear" w:color="auto" w:fill="FFFFFF"/>
        <w:spacing w:after="0" w:line="240" w:lineRule="auto"/>
        <w:ind w:left="2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ограничения токов КЗ в мощных энергоустановках служат токоограничивающие реакторы. Это позволяет применить более лёгкие и дешёвые выключатели и уменьшить площадь сечения кабелей, а следовательно, удешевить РУ.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2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область применения реакторов – электрические сети напряжением 6 и 10 кВ. Иногда их используют и в установках напряжением 35 кВ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ограничения тока КЗ в РУ 6 – 10 кВ ТЭЦ применяют секционные и линейные реакторы (рис. 14.1). 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49D8" w:rsidRPr="002949D8" w:rsidRDefault="002949D8" w:rsidP="00551B79">
      <w:pPr>
        <w:shd w:val="clear" w:color="auto" w:fill="FFFFFF"/>
        <w:spacing w:after="0" w:line="240" w:lineRule="auto"/>
        <w:ind w:left="1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13200" cy="1803400"/>
            <wp:effectExtent l="0" t="0" r="6350" b="6350"/>
            <wp:docPr id="2" name="Рисунок 2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b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14.1. Схема включения реакторов в ГРУ.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нормальном режиме работы станции через секционные реакторы проходят небольшие токи и потери напряжения в них малы. При нарушении нормального режима, например при отключении генератора или трансформатора, через реакторы проходят значительные рабочие токи и потери напряжения достигают в них (4 - 6) %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ном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Секционные реакторы ограничивают ток КЗ в зоне сборных шин, присоединений генераторов, трансформаторов, и сопротивление реакторов должно быть достаточным для того, чтобы ограничивать ток КЗ до значений, соответствующих параметрам намечаемых к установке выключателей. Номинальный ток секционного реактора должен соответствовать мощно сти, передаваемой от секции к секции при нарушении нормального режима.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32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принимают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329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р.ном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≥(0,6 – 0,7)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г.ном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;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=0,2 – 0,35 Ом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5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Задав сопротивление реактора, рассчитывают ток КЗ на шинах установки. Если ток окажется больше ожидаемого, следует изменить сопротивление реактора и повторить </w:t>
      </w:r>
      <w:r w:rsidR="008179C0"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Линейные реакторы включаются последовательно в цепь отходящей линии, они хорошо ограничивают ток КЗ в распреде</w:t>
      </w:r>
      <w:r w:rsidRPr="002949D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лительной сети и поддерживают остаточное напряжение </w:t>
      </w:r>
      <w:r w:rsidRPr="002949D8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vertAlign w:val="subscript"/>
          <w:lang w:eastAsia="ru-RU"/>
        </w:rPr>
        <w:t>ост</w:t>
      </w:r>
      <w:r w:rsidRPr="002949D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на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шинах установки при КЗ на одной из линий. Последнее благоприятно сказывается на потребителях электрической энергии, </w:t>
      </w:r>
      <w:r w:rsidRPr="002949D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и по условиям самозапуска электродвигательной нагрузки </w:t>
      </w:r>
      <w:r w:rsidRPr="002949D8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vertAlign w:val="subscript"/>
          <w:lang w:eastAsia="ru-RU"/>
        </w:rPr>
        <w:t>ост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должно составлять не менее (65 - 70) % </w:t>
      </w:r>
      <w:r w:rsidRPr="002949D8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ном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0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Для ограничения тока КЗ целесообразно иметь возможно большее индуктивное сопротивление реактора. Однако значение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 быть ограничено допустимым значением потери напряжения в реакторе при нормальном режиме работы установки (1,5—2% номинального).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4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параметры реакторов следующие: номинальное напряжение, номинальный ток, индуктивное сопротивление, а также ток динамической стойкости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дин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(амплитудное значение), ток термической стойкости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допустимое время действия тока термической стойкости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Т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7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большом числе линий применяют групповые реакторы, т. е. один реактор на несколько линий. Затраты, связанные с установкой реактора, в этом случае уменьшаются, однако уменьшается и токоограничивающее действие реактора с большим номинальным током при заданном значении потери напряжения.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5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Сдвоенные реакторы лишены недостатков групповых реакторов. К среднему выводу реактора присоединены источники питания, а потребители подключаются к крайним выводам (рис. 14.1). Сдвоенные реакторы характеризуются номинальным напряжением, номинальным током ветви и сопротивлением од</w:t>
      </w:r>
      <w:r w:rsidRPr="002949D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ной ветви 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в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=ω</w:t>
      </w:r>
      <w:r w:rsidRPr="002949D8"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  <w:lang w:val="en-US" w:eastAsia="ru-RU"/>
        </w:rPr>
        <w:t>L</w:t>
      </w:r>
      <w:r w:rsidRPr="002949D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при отсутствии тока в другой. При эксплу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атации стремятся к равномерной загрузке ветвей 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).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нормальном режиме работы установки потеря напряжения в ветви реактора с учетом взаимной индукции ветвей определится как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1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Δu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vertAlign w:val="superscript"/>
          <w:lang w:eastAsia="ru-RU"/>
        </w:rPr>
        <w:t>’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eastAsia="ru-RU"/>
        </w:rPr>
        <w:t>=(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IωL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eastAsia="ru-RU"/>
        </w:rPr>
        <w:t>-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IωM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eastAsia="ru-RU"/>
        </w:rPr>
        <w:t>)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sinφ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eastAsia="ru-RU"/>
        </w:rPr>
        <w:t xml:space="preserve">= 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IωL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eastAsia="ru-RU"/>
        </w:rPr>
        <w:t>(1-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k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vertAlign w:val="subscript"/>
          <w:lang w:val="en-US" w:eastAsia="ru-RU"/>
        </w:rPr>
        <w:t>c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eastAsia="ru-RU"/>
        </w:rPr>
        <w:t xml:space="preserve">) 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sinφ</w:t>
      </w:r>
      <w:r w:rsidRPr="002949D8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,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k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c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M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/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L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— коэффициент связи ветвей реактора.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7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Если </w:t>
      </w:r>
      <w:r w:rsidRPr="002949D8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eastAsia="ru-RU"/>
        </w:rPr>
        <w:t>х</w:t>
      </w:r>
      <w:r w:rsidRPr="002949D8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vertAlign w:val="subscript"/>
          <w:lang w:eastAsia="ru-RU"/>
        </w:rPr>
        <w:t>в</w:t>
      </w:r>
      <w:r w:rsidRPr="002949D8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 =</w:t>
      </w:r>
      <w:r w:rsidRPr="002949D8">
        <w:rPr>
          <w:rFonts w:ascii="Times New Roman" w:eastAsia="Times New Roman" w:hAnsi="Times New Roman" w:cs="Times New Roman"/>
          <w:i/>
          <w:spacing w:val="-10"/>
          <w:sz w:val="28"/>
          <w:szCs w:val="28"/>
          <w:lang w:val="en-US" w:eastAsia="ru-RU"/>
        </w:rPr>
        <w:t>ωL</w:t>
      </w:r>
      <w:r w:rsidRPr="002949D8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, </w:t>
      </w:r>
      <w:r w:rsidRPr="002949D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то индуктивное сопротивление ветви с учетом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взаимной индукции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'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B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2949D8">
        <w:rPr>
          <w:rFonts w:ascii="Times New Roman" w:eastAsia="Times New Roman" w:hAnsi="Times New Roman" w:cs="Times New Roman"/>
          <w:i/>
          <w:iCs/>
          <w:spacing w:val="42"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iCs/>
          <w:spacing w:val="42"/>
          <w:sz w:val="28"/>
          <w:szCs w:val="28"/>
          <w:vertAlign w:val="subscript"/>
          <w:lang w:val="en-US" w:eastAsia="ru-RU"/>
        </w:rPr>
        <w:t>B</w:t>
      </w:r>
      <w:r w:rsidRPr="002949D8">
        <w:rPr>
          <w:rFonts w:ascii="Times New Roman" w:eastAsia="Times New Roman" w:hAnsi="Times New Roman" w:cs="Times New Roman"/>
          <w:i/>
          <w:iCs/>
          <w:spacing w:val="42"/>
          <w:sz w:val="28"/>
          <w:szCs w:val="28"/>
          <w:lang w:eastAsia="ru-RU"/>
        </w:rPr>
        <w:t>(1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—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k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c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Обычно коэффициент связи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k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c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близок к 0,5, тогда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х'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в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0,5х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в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т. е. потеря напряжения в сдвоенном реакторе вдвое меньше по сравнению с обычным реактором.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КЗ за одной из ветвей ток в ней значительно превышает ток в неповрежденной ветви. Влияние взаимной индукции мало, и 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в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т. е. сопротивление реактора при КЗ вдвое больше, чем в нормальном режиме.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33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порядок выбора линейных реакторов.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7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Реакторы выбирают по номинальному напряжению и номинальному току: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0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уст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р.ном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; 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раб.утяж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р.ном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Индуктивное сопротивление реактора выбирают исходя из условий ограничения тока КЗ до заданного уровня, определяемого коммутационной способностью выключателей, которые установлены в данной сети. Например, на линиях часто устанавливаются выключатели ВМП-10К с током отключения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кА. Первоначально известно значение периодической составляющей тока КЗ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п0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которое с помощью реактора необходимо уменьшить. Результирующее сопротивление цепи КЗ до места присоединения реакторов (рис. 14.2) можно определить по выражению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21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46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37pt" o:ole="">
            <v:imagedata r:id="rId7" o:title=""/>
          </v:shape>
          <o:OLEObject Type="Embed" ProgID="Equation.3" ShapeID="_x0000_i1025" DrawAspect="Content" ObjectID="_1569323284" r:id="rId8"/>
        </w:objec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222500" cy="1638300"/>
            <wp:effectExtent l="6350" t="0" r="0" b="0"/>
            <wp:docPr id="1" name="Рисунок 1" descr="prob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ba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225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9D8" w:rsidRPr="002949D8" w:rsidRDefault="002949D8" w:rsidP="00551B7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14.2. Схема замещения для определения сопротивления реактора.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49D8" w:rsidRPr="002949D8" w:rsidRDefault="002949D8" w:rsidP="00551B79">
      <w:pPr>
        <w:shd w:val="clear" w:color="auto" w:fill="FFFFFF"/>
        <w:spacing w:after="0" w:line="240" w:lineRule="auto"/>
        <w:ind w:left="4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Начальное значение периодической составляющей тока за реактором должно быть равно току отключения выключателя: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2880" w:right="26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п0 К2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откл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Сопротивление цепи КЗ до точки 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К2 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реактором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218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26" type="#_x0000_t75" style="width:9pt;height:17pt" o:ole="">
            <v:imagedata r:id="rId10" o:title=""/>
          </v:shape>
          <o:OLEObject Type="Embed" ProgID="Equation.3" ShapeID="_x0000_i1026" DrawAspect="Content" ObjectID="_1569323285" r:id="rId11"/>
        </w:object>
      </w:r>
      <w:r w:rsidRPr="002949D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700" w:dyaOrig="740">
          <v:shape id="_x0000_i1027" type="#_x0000_t75" style="width:85pt;height:37pt" o:ole="">
            <v:imagedata r:id="rId12" o:title=""/>
          </v:shape>
          <o:OLEObject Type="Embed" ProgID="Equation.3" ShapeID="_x0000_i1027" DrawAspect="Content" ObjectID="_1569323286" r:id="rId13"/>
        </w:objec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3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Разность полученных сопротивлений  даст необходимое сопротивление реактора: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рез К2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рез К1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Выбирают по каталогу тип реактора с ближайшим большим значением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рассчитывают действительное значение периодической составляющей тока КЗ за реактором.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96" w:right="4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Выбранный  реактор необходимо проверить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электродинамическую стойкость: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728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дин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ударный ток трехфазного КЗ за реактором.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3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на термическую стойкость проводится по условию 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317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k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T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T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3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2949D8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к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="008179C0"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расчётный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импульс  квадратичного тока при КЗ за реактором.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7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Короткое замыкание за реактором можно считать </w:t>
      </w:r>
      <w:r w:rsidR="008179C0"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удалённым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поэтому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2160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п0 К2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откл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+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2949D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этом в значение 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откл</w:t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входит время действия релейной защиты отходящих линий, составляющее 1—2 с.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также определить потерю напряжения в реакторе и остаточное напряжение на шинах установки (в процентах):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74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Δ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=√3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раб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sinφ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100/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2949D8" w:rsidRPr="002949D8" w:rsidRDefault="002949D8" w:rsidP="00551B79">
      <w:pPr>
        <w:shd w:val="clear" w:color="auto" w:fill="FFFFFF"/>
        <w:spacing w:after="0" w:line="240" w:lineRule="auto"/>
        <w:ind w:left="74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ост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=√3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п0 К2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100/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2949D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</w:p>
    <w:p w:rsidR="00980CAF" w:rsidRDefault="002949D8" w:rsidP="00551B79">
      <w:pPr>
        <w:spacing w:after="0" w:line="240" w:lineRule="auto"/>
      </w:pPr>
      <w:r w:rsidRPr="002949D8">
        <w:rPr>
          <w:rFonts w:ascii="Times New Roman" w:eastAsia="Times New Roman" w:hAnsi="Times New Roman" w:cs="Times New Roman"/>
          <w:sz w:val="28"/>
          <w:szCs w:val="28"/>
          <w:lang w:eastAsia="ru-RU"/>
        </w:rPr>
        <w:t>и сравнить полученные значения с допустимыми.</w:t>
      </w:r>
    </w:p>
    <w:p w:rsidR="00551B79" w:rsidRDefault="00551B79">
      <w:pPr>
        <w:spacing w:after="0" w:line="240" w:lineRule="auto"/>
      </w:pPr>
      <w:bookmarkStart w:id="0" w:name="_GoBack"/>
      <w:bookmarkEnd w:id="0"/>
    </w:p>
    <w:sectPr w:rsidR="00551B79" w:rsidSect="00551B79">
      <w:footerReference w:type="default" r:id="rId14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A76" w:rsidRDefault="00800A76" w:rsidP="000C47E8">
      <w:pPr>
        <w:spacing w:after="0" w:line="240" w:lineRule="auto"/>
      </w:pPr>
      <w:r>
        <w:separator/>
      </w:r>
    </w:p>
  </w:endnote>
  <w:endnote w:type="continuationSeparator" w:id="1">
    <w:p w:rsidR="00800A76" w:rsidRDefault="00800A76" w:rsidP="000C4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5272847"/>
    </w:sdtPr>
    <w:sdtContent>
      <w:p w:rsidR="000C47E8" w:rsidRDefault="00811A92">
        <w:pPr>
          <w:pStyle w:val="a7"/>
          <w:jc w:val="right"/>
        </w:pPr>
        <w:r>
          <w:fldChar w:fldCharType="begin"/>
        </w:r>
        <w:r w:rsidR="000C47E8">
          <w:instrText>PAGE   \* MERGEFORMAT</w:instrText>
        </w:r>
        <w:r>
          <w:fldChar w:fldCharType="separate"/>
        </w:r>
        <w:r w:rsidR="00A328F9">
          <w:rPr>
            <w:noProof/>
          </w:rPr>
          <w:t>2</w:t>
        </w:r>
        <w:r>
          <w:fldChar w:fldCharType="end"/>
        </w:r>
      </w:p>
    </w:sdtContent>
  </w:sdt>
  <w:p w:rsidR="000C47E8" w:rsidRDefault="000C47E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A76" w:rsidRDefault="00800A76" w:rsidP="000C47E8">
      <w:pPr>
        <w:spacing w:after="0" w:line="240" w:lineRule="auto"/>
      </w:pPr>
      <w:r>
        <w:separator/>
      </w:r>
    </w:p>
  </w:footnote>
  <w:footnote w:type="continuationSeparator" w:id="1">
    <w:p w:rsidR="00800A76" w:rsidRDefault="00800A76" w:rsidP="000C47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1B02"/>
    <w:rsid w:val="000C47E8"/>
    <w:rsid w:val="002949D8"/>
    <w:rsid w:val="00442BEB"/>
    <w:rsid w:val="00481F5D"/>
    <w:rsid w:val="00551B79"/>
    <w:rsid w:val="00746245"/>
    <w:rsid w:val="00800A76"/>
    <w:rsid w:val="00811A92"/>
    <w:rsid w:val="008179C0"/>
    <w:rsid w:val="00980CAF"/>
    <w:rsid w:val="00A328F9"/>
    <w:rsid w:val="00B91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A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4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49D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C47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47E8"/>
  </w:style>
  <w:style w:type="paragraph" w:styleId="a7">
    <w:name w:val="footer"/>
    <w:basedOn w:val="a"/>
    <w:link w:val="a8"/>
    <w:uiPriority w:val="99"/>
    <w:unhideWhenUsed/>
    <w:rsid w:val="000C47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47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4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49D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C47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47E8"/>
  </w:style>
  <w:style w:type="paragraph" w:styleId="a7">
    <w:name w:val="footer"/>
    <w:basedOn w:val="a"/>
    <w:link w:val="a8"/>
    <w:uiPriority w:val="99"/>
    <w:unhideWhenUsed/>
    <w:rsid w:val="000C47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47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5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wmf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847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2017-10-12T08:15:00Z</dcterms:created>
  <dcterms:modified xsi:type="dcterms:W3CDTF">2017-10-12T08:15:00Z</dcterms:modified>
</cp:coreProperties>
</file>